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AA" w:rsidRPr="004A37AA" w:rsidRDefault="004A37AA" w:rsidP="004A37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color w:val="23282C"/>
          <w:spacing w:val="-12"/>
          <w:sz w:val="40"/>
          <w:szCs w:val="40"/>
          <w:lang w:eastAsia="it-IT"/>
        </w:rPr>
        <w:t>Matrimonio civile e religioso - Pubblicazioni e celebrazione</w:t>
      </w:r>
      <w:r w:rsidRPr="004A37AA">
        <w:rPr>
          <w:rFonts w:ascii="Times New Roman" w:eastAsia="Times New Roman" w:hAnsi="Times New Roman" w:cs="Times New Roman"/>
          <w:color w:val="000000"/>
          <w:sz w:val="19"/>
          <w:szCs w:val="19"/>
          <w:u w:val="single"/>
          <w:lang w:eastAsia="it-IT"/>
        </w:rPr>
        <w:br/>
      </w:r>
      <w:r w:rsidRPr="004A37AA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In base alla normativa italiana, il matrimonio con effetti civili può essere celebrato civilmente o davanti ad un ministro di un culto ammesso dallo Stato.</w:t>
      </w:r>
      <w:r w:rsidRPr="004A37AA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br/>
        <w:t>La normativa impone, prima del matrimonio, la </w:t>
      </w:r>
      <w:r w:rsidRPr="004A37AA">
        <w:rPr>
          <w:rFonts w:ascii="Times New Roman" w:eastAsia="Times New Roman" w:hAnsi="Times New Roman" w:cs="Times New Roman"/>
          <w:b/>
          <w:bCs/>
          <w:color w:val="000000"/>
          <w:sz w:val="19"/>
          <w:lang w:eastAsia="it-IT"/>
        </w:rPr>
        <w:t>pubblicazione di matrimonio</w:t>
      </w:r>
      <w:r w:rsidRPr="004A37AA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, un procedimento con cui si accerta che non sussistano impedimenti legali alla celebrazione del matrimonio stesso.</w:t>
      </w:r>
    </w:p>
    <w:p w:rsidR="004A37AA" w:rsidRPr="004A37AA" w:rsidRDefault="004A37AA" w:rsidP="004A37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color w:val="000000"/>
          <w:sz w:val="19"/>
          <w:szCs w:val="19"/>
          <w:lang w:eastAsia="it-IT"/>
        </w:rPr>
        <w:t> </w:t>
      </w:r>
    </w:p>
    <w:p w:rsidR="004A37AA" w:rsidRPr="004A37AA" w:rsidRDefault="004A37AA" w:rsidP="004A37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b/>
          <w:bCs/>
          <w:color w:val="23282C"/>
          <w:spacing w:val="-12"/>
          <w:sz w:val="19"/>
          <w:lang w:eastAsia="it-IT"/>
        </w:rPr>
        <w:t>Requisiti di accesso</w:t>
      </w:r>
    </w:p>
    <w:p w:rsidR="004A37AA" w:rsidRPr="004A37AA" w:rsidRDefault="004A37AA" w:rsidP="004A37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 xml:space="preserve">Le modalità per le pubblicazioni di matrimonio e per la celebrazione dello stesso differiscono a seconda del tipo di matrimonio, civile o religioso, e delle condizioni dei </w:t>
      </w:r>
      <w:proofErr w:type="spellStart"/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nubendi</w:t>
      </w:r>
      <w:proofErr w:type="spellEnd"/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.</w:t>
      </w:r>
    </w:p>
    <w:p w:rsidR="004A37AA" w:rsidRPr="004A37AA" w:rsidRDefault="004A37AA" w:rsidP="004A37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b/>
          <w:bCs/>
          <w:color w:val="23282C"/>
          <w:spacing w:val="-12"/>
          <w:sz w:val="19"/>
          <w:lang w:eastAsia="it-IT"/>
        </w:rPr>
        <w:t>Matrimonio civile - Pubblicazioni</w:t>
      </w:r>
    </w:p>
    <w:p w:rsidR="004A37AA" w:rsidRPr="004A37AA" w:rsidRDefault="004A37AA" w:rsidP="004A37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 xml:space="preserve">I </w:t>
      </w:r>
      <w:proofErr w:type="spellStart"/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nubendi</w:t>
      </w:r>
      <w:proofErr w:type="spellEnd"/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 xml:space="preserve"> devono prendere contatto con l'Ufficio di Stato Civile del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Comune di residenza (non di matrimonio)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 xml:space="preserve">. Qualora i </w:t>
      </w:r>
      <w:proofErr w:type="spellStart"/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nubendi</w:t>
      </w:r>
      <w:proofErr w:type="spellEnd"/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 xml:space="preserve"> risiedano in Comuni diversi, possono richiedere le pubblicazioni indifferentemente a uno dei due Comuni.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br/>
        <w:t xml:space="preserve">Se i </w:t>
      </w:r>
      <w:proofErr w:type="spellStart"/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nubendi</w:t>
      </w:r>
      <w:proofErr w:type="spellEnd"/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 xml:space="preserve"> sono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entrambi italiani, devono semplicemente comunicare i propri dati anagrafici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 e un proprio recapito telefonico; i documenti verranno acquisiti d'ufficio.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br/>
        <w:t>Se invece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 xml:space="preserve">uno o entrambi i </w:t>
      </w:r>
      <w:proofErr w:type="spellStart"/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nubendi</w:t>
      </w:r>
      <w:proofErr w:type="spellEnd"/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 xml:space="preserve"> sono stranieri,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 occorre che ognuno di essi fornisca all'Ufficio di Stato Civile:</w:t>
      </w:r>
    </w:p>
    <w:p w:rsidR="004A37AA" w:rsidRPr="004A37AA" w:rsidRDefault="004A37AA" w:rsidP="004A37AA">
      <w:pPr>
        <w:shd w:val="clear" w:color="auto" w:fill="FFFFFF"/>
        <w:spacing w:after="0" w:line="240" w:lineRule="auto"/>
        <w:ind w:left="480" w:hanging="360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Symbol" w:eastAsia="Times New Roman" w:hAnsi="Symbol" w:cs="Segoe UI"/>
          <w:color w:val="23282C"/>
          <w:sz w:val="20"/>
          <w:szCs w:val="20"/>
          <w:lang w:eastAsia="it-IT"/>
        </w:rPr>
        <w:t></w:t>
      </w:r>
      <w:r w:rsidRPr="004A37AA">
        <w:rPr>
          <w:rFonts w:ascii="Times New Roman" w:eastAsia="Times New Roman" w:hAnsi="Times New Roman" w:cs="Times New Roman"/>
          <w:color w:val="23282C"/>
          <w:sz w:val="14"/>
          <w:szCs w:val="14"/>
          <w:lang w:eastAsia="it-IT"/>
        </w:rPr>
        <w:t>        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Certificato di nascita in lingua originale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 con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traduzione in italiano legalizzata presso l'Ambasciata o il Consolato italiano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 del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Paese di nascita</w:t>
      </w:r>
    </w:p>
    <w:p w:rsidR="004A37AA" w:rsidRPr="004A37AA" w:rsidRDefault="004A37AA" w:rsidP="004A37AA">
      <w:pPr>
        <w:shd w:val="clear" w:color="auto" w:fill="FFFFFF"/>
        <w:spacing w:after="0" w:line="240" w:lineRule="auto"/>
        <w:ind w:left="480" w:hanging="360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Symbol" w:eastAsia="Times New Roman" w:hAnsi="Symbol" w:cs="Segoe UI"/>
          <w:color w:val="23282C"/>
          <w:sz w:val="20"/>
          <w:szCs w:val="20"/>
          <w:lang w:eastAsia="it-IT"/>
        </w:rPr>
        <w:t></w:t>
      </w:r>
      <w:r w:rsidRPr="004A37AA">
        <w:rPr>
          <w:rFonts w:ascii="Times New Roman" w:eastAsia="Times New Roman" w:hAnsi="Times New Roman" w:cs="Times New Roman"/>
          <w:color w:val="23282C"/>
          <w:sz w:val="14"/>
          <w:szCs w:val="14"/>
          <w:lang w:eastAsia="it-IT"/>
        </w:rPr>
        <w:t>        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Nulla osta al matrimonio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 rilasciato dall'Ambasciata o dal Consolato in Italia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del Paese di cittadinanza</w:t>
      </w:r>
    </w:p>
    <w:p w:rsidR="004A37AA" w:rsidRPr="004A37AA" w:rsidRDefault="004A37AA" w:rsidP="004A37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 xml:space="preserve">Una volta acquisiti i documenti, verrà concordata una data per la redazione e la firma del verbale di pubblicazioni. I </w:t>
      </w:r>
      <w:proofErr w:type="spellStart"/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nubendi</w:t>
      </w:r>
      <w:proofErr w:type="spellEnd"/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 xml:space="preserve"> devono presentarsi con:</w:t>
      </w:r>
    </w:p>
    <w:p w:rsidR="004A37AA" w:rsidRPr="004A37AA" w:rsidRDefault="004A37AA" w:rsidP="004A37AA">
      <w:pPr>
        <w:shd w:val="clear" w:color="auto" w:fill="FFFFFF"/>
        <w:spacing w:after="0" w:line="240" w:lineRule="auto"/>
        <w:ind w:left="480" w:hanging="360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Symbol" w:eastAsia="Times New Roman" w:hAnsi="Symbol" w:cs="Segoe UI"/>
          <w:color w:val="23282C"/>
          <w:sz w:val="20"/>
          <w:szCs w:val="20"/>
          <w:lang w:eastAsia="it-IT"/>
        </w:rPr>
        <w:t></w:t>
      </w:r>
      <w:r w:rsidRPr="004A37AA">
        <w:rPr>
          <w:rFonts w:ascii="Times New Roman" w:eastAsia="Times New Roman" w:hAnsi="Times New Roman" w:cs="Times New Roman"/>
          <w:color w:val="23282C"/>
          <w:sz w:val="14"/>
          <w:szCs w:val="14"/>
          <w:lang w:eastAsia="it-IT"/>
        </w:rPr>
        <w:t>        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1 marca da bollo da 16 €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 se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entrambi residenti nel Comune di pubblicazione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;</w:t>
      </w:r>
    </w:p>
    <w:p w:rsidR="004A37AA" w:rsidRPr="004A37AA" w:rsidRDefault="004A37AA" w:rsidP="004A37AA">
      <w:pPr>
        <w:shd w:val="clear" w:color="auto" w:fill="FFFFFF"/>
        <w:spacing w:after="0" w:line="240" w:lineRule="auto"/>
        <w:ind w:left="480" w:hanging="360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Symbol" w:eastAsia="Times New Roman" w:hAnsi="Symbol" w:cs="Segoe UI"/>
          <w:color w:val="23282C"/>
          <w:sz w:val="20"/>
          <w:szCs w:val="20"/>
          <w:lang w:eastAsia="it-IT"/>
        </w:rPr>
        <w:t></w:t>
      </w:r>
      <w:r w:rsidRPr="004A37AA">
        <w:rPr>
          <w:rFonts w:ascii="Times New Roman" w:eastAsia="Times New Roman" w:hAnsi="Times New Roman" w:cs="Times New Roman"/>
          <w:color w:val="23282C"/>
          <w:sz w:val="14"/>
          <w:szCs w:val="14"/>
          <w:lang w:eastAsia="it-IT"/>
        </w:rPr>
        <w:t>        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2 marche da bollo da 16 € ognuna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 se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almeno uno non è residente nel Comune di pubblicazione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 (entrambe le marche verranno applicate sulla pubblicazione, che sarà richiesta anche all'altro Comune con assolvimento automatico dell'imposta)</w:t>
      </w:r>
    </w:p>
    <w:p w:rsidR="004A37AA" w:rsidRPr="004A37AA" w:rsidRDefault="004A37AA" w:rsidP="004A37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Le pubblicazioni devono essere affisse all'Albo Pretorio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per 8 giorni consecutivi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; in seguito, l'atto deve rimanere in deposito presso l'Ufficio di Stato Civile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per 3 giorni consecutivi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 xml:space="preserve">, per le eventuali opposizioni. Qualora almeno un </w:t>
      </w:r>
      <w:proofErr w:type="spellStart"/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nubendo</w:t>
      </w:r>
      <w:proofErr w:type="spellEnd"/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 xml:space="preserve"> non sia residente, occorre attendere anche la comunicazione di avvenuta pubblicazione da parte dell'altro Comune.</w:t>
      </w:r>
    </w:p>
    <w:p w:rsidR="004A37AA" w:rsidRPr="004A37AA" w:rsidRDefault="004A37AA" w:rsidP="004A37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 </w:t>
      </w:r>
    </w:p>
    <w:p w:rsidR="004A37AA" w:rsidRPr="004A37AA" w:rsidRDefault="004A37AA" w:rsidP="004A37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b/>
          <w:bCs/>
          <w:color w:val="23282C"/>
          <w:spacing w:val="-12"/>
          <w:sz w:val="19"/>
          <w:lang w:eastAsia="it-IT"/>
        </w:rPr>
        <w:t>Matrimonio religioso - Pubblicazioni</w:t>
      </w:r>
    </w:p>
    <w:p w:rsidR="004A37AA" w:rsidRPr="004A37AA" w:rsidRDefault="004A37AA" w:rsidP="004A37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In aggiunta a quanto sopra indicato per il matrimonio civile, per le pubblicazioni occorre la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richiesta di pubblicazione del ministro del culto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 xml:space="preserve">. Nel caso di matrimonio cattolico concordatario, la richiesta deve essere firmata dal Parroco della parrocchia di appartenenza di almeno uno dei due </w:t>
      </w:r>
      <w:proofErr w:type="spellStart"/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nubendi</w:t>
      </w:r>
      <w:proofErr w:type="spellEnd"/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, o da altro Parroco del territorio comunale.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br/>
        <w:t xml:space="preserve">Inoltre, una volta completata la pubblicazione, i </w:t>
      </w:r>
      <w:proofErr w:type="spellStart"/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nubendi</w:t>
      </w:r>
      <w:proofErr w:type="spellEnd"/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 xml:space="preserve"> verranno contattati per ritirare il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certificato di nulla osta al matrimonio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, da consegnare al ministro del culto che ha richiesto le pubblicazioni civili (che può non coincidere con quello incaricato della celebrazione).</w:t>
      </w:r>
    </w:p>
    <w:p w:rsidR="004A37AA" w:rsidRPr="004A37AA" w:rsidRDefault="004A37AA" w:rsidP="004A37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 </w:t>
      </w:r>
    </w:p>
    <w:p w:rsidR="004A37AA" w:rsidRPr="004A37AA" w:rsidRDefault="004A37AA" w:rsidP="004A37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b/>
          <w:bCs/>
          <w:color w:val="23282C"/>
          <w:spacing w:val="-12"/>
          <w:sz w:val="19"/>
          <w:lang w:eastAsia="it-IT"/>
        </w:rPr>
        <w:t>Matrimonio civile - Celebrazione</w:t>
      </w:r>
    </w:p>
    <w:p w:rsidR="004A37AA" w:rsidRPr="004A37AA" w:rsidRDefault="004A37AA" w:rsidP="004A37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Il matrimonio può essere celebrato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solo dopo la conclusione del procedimento di pubblicazione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 (12° giorno dalla stessa, o qualche giorno dopo nel caso di pubblicazione anche in altro Comune) e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non oltre il 180° giorno dall'inizio della pubblicazione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 (trascorso tale periodo, la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pubblicazione si considera come non avvenuta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).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br/>
        <w:t>Il matrimonio può essere celebrato dal Sindaco, da un pubblico ufficiale da lui delegato alla celebrazione o da un Ufficiale di Stato Civile. La data va dunque concordata con il celebrante e con l'Ufficio di Stato Civile.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br/>
        <w:t xml:space="preserve">Con almeno qualche giorno di anticipo rispetto alla data fissata per il matrimonio, i </w:t>
      </w:r>
      <w:proofErr w:type="spellStart"/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nubendi</w:t>
      </w:r>
      <w:proofErr w:type="spellEnd"/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 xml:space="preserve"> devono comunicare all'Ufficio di Stato Civile:</w:t>
      </w:r>
    </w:p>
    <w:p w:rsidR="004A37AA" w:rsidRPr="004A37AA" w:rsidRDefault="004A37AA" w:rsidP="004A37AA">
      <w:pPr>
        <w:shd w:val="clear" w:color="auto" w:fill="FFFFFF"/>
        <w:spacing w:after="0" w:line="240" w:lineRule="auto"/>
        <w:ind w:left="480" w:hanging="360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Symbol" w:eastAsia="Times New Roman" w:hAnsi="Symbol" w:cs="Segoe UI"/>
          <w:color w:val="23282C"/>
          <w:sz w:val="20"/>
          <w:szCs w:val="20"/>
          <w:lang w:eastAsia="it-IT"/>
        </w:rPr>
        <w:t></w:t>
      </w:r>
      <w:r w:rsidRPr="004A37AA">
        <w:rPr>
          <w:rFonts w:ascii="Times New Roman" w:eastAsia="Times New Roman" w:hAnsi="Times New Roman" w:cs="Times New Roman"/>
          <w:color w:val="23282C"/>
          <w:sz w:val="14"/>
          <w:szCs w:val="14"/>
          <w:lang w:eastAsia="it-IT"/>
        </w:rPr>
        <w:t>         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dati anagrafici e di residenza dei testimoni (che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non devono essere più di due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)</w:t>
      </w:r>
    </w:p>
    <w:p w:rsidR="004A37AA" w:rsidRPr="004A37AA" w:rsidRDefault="004A37AA" w:rsidP="004A37AA">
      <w:pPr>
        <w:shd w:val="clear" w:color="auto" w:fill="FFFFFF"/>
        <w:spacing w:after="0" w:line="240" w:lineRule="auto"/>
        <w:ind w:left="480" w:hanging="360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Symbol" w:eastAsia="Times New Roman" w:hAnsi="Symbol" w:cs="Segoe UI"/>
          <w:color w:val="23282C"/>
          <w:sz w:val="20"/>
          <w:szCs w:val="20"/>
          <w:lang w:eastAsia="it-IT"/>
        </w:rPr>
        <w:t></w:t>
      </w:r>
      <w:r w:rsidRPr="004A37AA">
        <w:rPr>
          <w:rFonts w:ascii="Times New Roman" w:eastAsia="Times New Roman" w:hAnsi="Times New Roman" w:cs="Times New Roman"/>
          <w:color w:val="23282C"/>
          <w:sz w:val="14"/>
          <w:szCs w:val="14"/>
          <w:lang w:eastAsia="it-IT"/>
        </w:rPr>
        <w:t>         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scelta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della comunione o della separazione dei beni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 nei rapporti patrimoniali</w:t>
      </w:r>
    </w:p>
    <w:p w:rsidR="004A37AA" w:rsidRDefault="004A37AA" w:rsidP="004A37A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 </w:t>
      </w:r>
    </w:p>
    <w:p w:rsidR="004A37AA" w:rsidRDefault="004A37AA" w:rsidP="004A37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b/>
          <w:bCs/>
          <w:color w:val="23282C"/>
          <w:spacing w:val="-12"/>
          <w:sz w:val="19"/>
          <w:lang w:eastAsia="it-IT"/>
        </w:rPr>
        <w:t xml:space="preserve">Matrimonio religioso </w:t>
      </w:r>
      <w:r>
        <w:rPr>
          <w:rFonts w:ascii="Times New Roman" w:eastAsia="Times New Roman" w:hAnsi="Times New Roman" w:cs="Times New Roman"/>
          <w:b/>
          <w:bCs/>
          <w:color w:val="23282C"/>
          <w:spacing w:val="-12"/>
          <w:sz w:val="19"/>
          <w:lang w:eastAsia="it-IT"/>
        </w:rPr>
        <w:t>–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pacing w:val="-12"/>
          <w:sz w:val="19"/>
          <w:lang w:eastAsia="it-IT"/>
        </w:rPr>
        <w:t xml:space="preserve"> celebrazione</w:t>
      </w:r>
      <w:r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  <w:t xml:space="preserve"> </w:t>
      </w:r>
    </w:p>
    <w:p w:rsidR="004A37AA" w:rsidRPr="004A37AA" w:rsidRDefault="004A37AA" w:rsidP="004A37A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Il matrimonio può essere celebrato dal ministro del culto </w:t>
      </w: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negli stessi termini temporali dall'avvenuta pubblicazione (non oltre 180 giorni dopo la stessa)</w:t>
      </w: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.</w:t>
      </w:r>
    </w:p>
    <w:p w:rsidR="004A37AA" w:rsidRPr="004A37AA" w:rsidRDefault="004A37AA" w:rsidP="004A37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color w:val="23282C"/>
          <w:sz w:val="19"/>
          <w:szCs w:val="19"/>
          <w:lang w:eastAsia="it-IT"/>
        </w:rPr>
        <w:t> </w:t>
      </w:r>
    </w:p>
    <w:p w:rsidR="004A37AA" w:rsidRPr="004A37AA" w:rsidRDefault="004A37AA" w:rsidP="004A37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b/>
          <w:bCs/>
          <w:color w:val="23282C"/>
          <w:spacing w:val="-12"/>
          <w:sz w:val="19"/>
          <w:lang w:eastAsia="it-IT"/>
        </w:rPr>
        <w:t>Tempi di erogazione</w:t>
      </w:r>
    </w:p>
    <w:p w:rsidR="004A37AA" w:rsidRPr="004A37AA" w:rsidRDefault="004A37AA" w:rsidP="004A37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b/>
          <w:bCs/>
          <w:color w:val="23282C"/>
          <w:sz w:val="19"/>
          <w:lang w:eastAsia="it-IT"/>
        </w:rPr>
        <w:t>Dal momento che i tempi effettivi dipendono dall'acquisizione di documenti presso uffici di altri Comuni, si richiede comunque di comunicare all'Ufficio di Stato Civile l'intenzione di contrarre matrimonio con congruo anticipo.</w:t>
      </w:r>
    </w:p>
    <w:p w:rsidR="004A37AA" w:rsidRPr="004A37AA" w:rsidRDefault="004A37AA" w:rsidP="004A37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3282C"/>
          <w:sz w:val="19"/>
          <w:szCs w:val="19"/>
          <w:lang w:eastAsia="it-IT"/>
        </w:rPr>
      </w:pPr>
      <w:r w:rsidRPr="004A37AA">
        <w:rPr>
          <w:rFonts w:ascii="Times New Roman" w:eastAsia="Times New Roman" w:hAnsi="Times New Roman" w:cs="Times New Roman"/>
          <w:b/>
          <w:bCs/>
          <w:color w:val="23282C"/>
          <w:sz w:val="24"/>
          <w:szCs w:val="24"/>
          <w:lang w:eastAsia="it-IT"/>
        </w:rPr>
        <w:t> </w:t>
      </w:r>
    </w:p>
    <w:p w:rsidR="00A715B5" w:rsidRDefault="00A715B5"/>
    <w:sectPr w:rsidR="00A715B5" w:rsidSect="00A715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4A37AA"/>
    <w:rsid w:val="004A37AA"/>
    <w:rsid w:val="00A7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15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A37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1</cp:revision>
  <dcterms:created xsi:type="dcterms:W3CDTF">2023-10-03T14:43:00Z</dcterms:created>
  <dcterms:modified xsi:type="dcterms:W3CDTF">2023-10-03T14:45:00Z</dcterms:modified>
</cp:coreProperties>
</file>